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1F7AA" w14:textId="77777777" w:rsidR="00B67D6E" w:rsidRPr="00B67D6E" w:rsidRDefault="00B67D6E" w:rsidP="00B6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D6E">
        <w:rPr>
          <w:rFonts w:ascii="Times New Roman" w:eastAsia="Times New Roman" w:hAnsi="Times New Roman" w:cs="Times New Roman"/>
          <w:sz w:val="24"/>
          <w:szCs w:val="24"/>
        </w:rPr>
        <w:t>Corrigendum to Council Implementing Regulation (EU) 2020/116 of 27 January 2020 implementing Article 12(1) of Regulation (EU) 2017/1770 concerning restrictive measures in view of the situation in Mali</w:t>
      </w:r>
    </w:p>
    <w:p w14:paraId="3446ED7B" w14:textId="77777777" w:rsidR="00B67D6E" w:rsidRPr="00B67D6E" w:rsidRDefault="00B67D6E" w:rsidP="00B6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D6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hyperlink r:id="rId4" w:history="1">
        <w:r w:rsidRPr="00B67D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Official Journal of the European Union L 22 of 28 January 2020</w:t>
        </w:r>
      </w:hyperlink>
      <w:r w:rsidRPr="00B67D6E"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</w:p>
    <w:p w14:paraId="20114E6B" w14:textId="77777777" w:rsidR="00B67D6E" w:rsidRPr="00B67D6E" w:rsidRDefault="00B67D6E" w:rsidP="00B6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D6E">
        <w:rPr>
          <w:rFonts w:ascii="Times New Roman" w:eastAsia="Times New Roman" w:hAnsi="Times New Roman" w:cs="Times New Roman"/>
          <w:sz w:val="24"/>
          <w:szCs w:val="24"/>
        </w:rPr>
        <w:t>On page 26, in the Annex, first entry, heading:</w:t>
      </w:r>
    </w:p>
    <w:p w14:paraId="52FA2454" w14:textId="77777777" w:rsidR="00B67D6E" w:rsidRPr="00B67D6E" w:rsidRDefault="00B67D6E" w:rsidP="00B6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D6E">
        <w:rPr>
          <w:rFonts w:ascii="Times New Roman" w:eastAsia="Times New Roman" w:hAnsi="Times New Roman" w:cs="Times New Roman"/>
          <w:sz w:val="24"/>
          <w:szCs w:val="24"/>
        </w:rPr>
        <w:t>for: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8966"/>
      </w:tblGrid>
      <w:tr w:rsidR="00B67D6E" w:rsidRPr="00B67D6E" w14:paraId="364B5001" w14:textId="77777777" w:rsidTr="00B67D6E">
        <w:trPr>
          <w:tblCellSpacing w:w="0" w:type="dxa"/>
        </w:trPr>
        <w:tc>
          <w:tcPr>
            <w:tcW w:w="0" w:type="auto"/>
            <w:hideMark/>
          </w:tcPr>
          <w:p w14:paraId="615092F7" w14:textId="77777777" w:rsidR="00B67D6E" w:rsidRPr="00B67D6E" w:rsidRDefault="00B67D6E" w:rsidP="00B6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D6E">
              <w:rPr>
                <w:rFonts w:ascii="Times New Roman" w:eastAsia="Times New Roman" w:hAnsi="Times New Roman" w:cs="Times New Roman"/>
                <w:sz w:val="24"/>
                <w:szCs w:val="24"/>
              </w:rPr>
              <w:t>‘1.</w:t>
            </w:r>
          </w:p>
        </w:tc>
        <w:tc>
          <w:tcPr>
            <w:tcW w:w="0" w:type="auto"/>
            <w:hideMark/>
          </w:tcPr>
          <w:p w14:paraId="6B22EF82" w14:textId="77777777" w:rsidR="00B67D6E" w:rsidRPr="00B67D6E" w:rsidRDefault="00B67D6E" w:rsidP="00B6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AHMED AG ALBACHAR (alias: </w:t>
            </w:r>
            <w:proofErr w:type="spellStart"/>
            <w:r w:rsidRPr="00B67D6E">
              <w:rPr>
                <w:rFonts w:ascii="Times New Roman" w:eastAsia="Times New Roman" w:hAnsi="Times New Roman" w:cs="Times New Roman"/>
                <w:sz w:val="24"/>
                <w:szCs w:val="24"/>
              </w:rPr>
              <w:t>Intahmado</w:t>
            </w:r>
            <w:proofErr w:type="spellEnd"/>
            <w:r w:rsidRPr="00B67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 </w:t>
            </w:r>
            <w:proofErr w:type="spellStart"/>
            <w:r w:rsidRPr="00B67D6E">
              <w:rPr>
                <w:rFonts w:ascii="Times New Roman" w:eastAsia="Times New Roman" w:hAnsi="Times New Roman" w:cs="Times New Roman"/>
                <w:sz w:val="24"/>
                <w:szCs w:val="24"/>
              </w:rPr>
              <w:t>Albachar</w:t>
            </w:r>
            <w:proofErr w:type="spellEnd"/>
            <w:r w:rsidRPr="00B67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)’, </w:t>
            </w:r>
          </w:p>
        </w:tc>
      </w:tr>
    </w:tbl>
    <w:p w14:paraId="024900EC" w14:textId="77777777" w:rsidR="00B67D6E" w:rsidRPr="00B67D6E" w:rsidRDefault="00B67D6E" w:rsidP="00B6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D6E">
        <w:rPr>
          <w:rFonts w:ascii="Times New Roman" w:eastAsia="Times New Roman" w:hAnsi="Times New Roman" w:cs="Times New Roman"/>
          <w:sz w:val="24"/>
          <w:szCs w:val="24"/>
        </w:rPr>
        <w:t>read: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8973"/>
      </w:tblGrid>
      <w:tr w:rsidR="00B67D6E" w:rsidRPr="00B67D6E" w14:paraId="204F5A42" w14:textId="77777777" w:rsidTr="00B67D6E">
        <w:trPr>
          <w:tblCellSpacing w:w="0" w:type="dxa"/>
        </w:trPr>
        <w:tc>
          <w:tcPr>
            <w:tcW w:w="0" w:type="auto"/>
            <w:hideMark/>
          </w:tcPr>
          <w:p w14:paraId="45B506F2" w14:textId="77777777" w:rsidR="00B67D6E" w:rsidRPr="00B67D6E" w:rsidRDefault="00B67D6E" w:rsidP="00B67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D6E">
              <w:rPr>
                <w:rFonts w:ascii="Times New Roman" w:eastAsia="Times New Roman" w:hAnsi="Times New Roman" w:cs="Times New Roman"/>
                <w:sz w:val="24"/>
                <w:szCs w:val="24"/>
              </w:rPr>
              <w:t>‘1.</w:t>
            </w:r>
          </w:p>
        </w:tc>
        <w:tc>
          <w:tcPr>
            <w:tcW w:w="0" w:type="auto"/>
            <w:hideMark/>
          </w:tcPr>
          <w:p w14:paraId="4CD84802" w14:textId="77777777" w:rsidR="00B67D6E" w:rsidRPr="00B67D6E" w:rsidRDefault="00B67D6E" w:rsidP="00B6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AHMED AG ALBACHAR (alias: </w:t>
            </w:r>
            <w:proofErr w:type="spellStart"/>
            <w:r w:rsidRPr="00B67D6E">
              <w:rPr>
                <w:rFonts w:ascii="Times New Roman" w:eastAsia="Times New Roman" w:hAnsi="Times New Roman" w:cs="Times New Roman"/>
                <w:sz w:val="24"/>
                <w:szCs w:val="24"/>
              </w:rPr>
              <w:t>Intahmadou</w:t>
            </w:r>
            <w:proofErr w:type="spellEnd"/>
            <w:r w:rsidRPr="00B67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 </w:t>
            </w:r>
            <w:proofErr w:type="spellStart"/>
            <w:r w:rsidRPr="00B67D6E">
              <w:rPr>
                <w:rFonts w:ascii="Times New Roman" w:eastAsia="Times New Roman" w:hAnsi="Times New Roman" w:cs="Times New Roman"/>
                <w:sz w:val="24"/>
                <w:szCs w:val="24"/>
              </w:rPr>
              <w:t>Albachar</w:t>
            </w:r>
            <w:proofErr w:type="spellEnd"/>
            <w:r w:rsidRPr="00B67D6E">
              <w:rPr>
                <w:rFonts w:ascii="Times New Roman" w:eastAsia="Times New Roman" w:hAnsi="Times New Roman" w:cs="Times New Roman"/>
                <w:sz w:val="24"/>
                <w:szCs w:val="24"/>
              </w:rPr>
              <w:t>)’.</w:t>
            </w:r>
          </w:p>
        </w:tc>
      </w:tr>
    </w:tbl>
    <w:p w14:paraId="4E6DE3F5" w14:textId="77777777" w:rsidR="00457B6E" w:rsidRDefault="00B67D6E"/>
    <w:sectPr w:rsidR="00457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6E"/>
    <w:rsid w:val="004E6AF4"/>
    <w:rsid w:val="00B67D6E"/>
    <w:rsid w:val="00F9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314F"/>
  <w15:chartTrackingRefBased/>
  <w15:docId w15:val="{F07C2313-68A8-48C7-AA06-E2E4F9F4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-lex.europa.eu/legal-content/EN/AUTO/?uri=OJ:L:2020:022:T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Cojocaru</dc:creator>
  <cp:keywords/>
  <dc:description/>
  <cp:lastModifiedBy>Laura Cojocaru</cp:lastModifiedBy>
  <cp:revision>1</cp:revision>
  <dcterms:created xsi:type="dcterms:W3CDTF">2020-04-27T10:19:00Z</dcterms:created>
  <dcterms:modified xsi:type="dcterms:W3CDTF">2020-04-27T10:20:00Z</dcterms:modified>
</cp:coreProperties>
</file>